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4C60" w:rsidRDefault="00373CA7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Corbel" w:eastAsia="Calibri" w:hAnsi="Corbel" w:cs="Times New Roman"/>
          <w:bCs/>
          <w:i/>
        </w:rPr>
        <w:t>Załącznik nr 1.5 do Zarządzenia Rektora UR  nr 12/2019</w:t>
      </w:r>
    </w:p>
    <w:p w:rsidR="00AF4C60" w:rsidRDefault="00373CA7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:rsidR="00AF4C60" w:rsidRDefault="00373CA7">
      <w:pPr>
        <w:spacing w:after="0" w:line="240" w:lineRule="exact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 xml:space="preserve">dotyczy cyklu kształcenia </w:t>
      </w:r>
      <w:r w:rsidR="00B544F0" w:rsidRPr="00B544F0">
        <w:rPr>
          <w:rFonts w:ascii="Corbel" w:eastAsia="Calibri" w:hAnsi="Corbel" w:cs="Times New Roman"/>
          <w:b/>
          <w:smallCaps/>
          <w:sz w:val="24"/>
          <w:szCs w:val="24"/>
        </w:rPr>
        <w:t>2021-2024</w:t>
      </w:r>
    </w:p>
    <w:p w:rsidR="00AF4C60" w:rsidRDefault="00373CA7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>
        <w:rPr>
          <w:rFonts w:ascii="Corbel" w:eastAsia="Calibri" w:hAnsi="Corbel" w:cs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B544F0">
        <w:rPr>
          <w:rFonts w:ascii="Corbel" w:eastAsia="Calibri" w:hAnsi="Corbel" w:cs="Times New Roman"/>
          <w:i/>
          <w:sz w:val="24"/>
          <w:szCs w:val="24"/>
        </w:rPr>
        <w:tab/>
      </w:r>
      <w:r>
        <w:rPr>
          <w:rFonts w:ascii="Corbel" w:eastAsia="Calibri" w:hAnsi="Corbel" w:cs="Times New Roman"/>
          <w:i/>
          <w:sz w:val="20"/>
          <w:szCs w:val="20"/>
        </w:rPr>
        <w:t>(skrajne daty</w:t>
      </w:r>
      <w:r>
        <w:rPr>
          <w:rFonts w:ascii="Corbel" w:eastAsia="Calibri" w:hAnsi="Corbel" w:cs="Times New Roman"/>
          <w:sz w:val="20"/>
          <w:szCs w:val="20"/>
        </w:rPr>
        <w:t>)</w:t>
      </w:r>
    </w:p>
    <w:p w:rsidR="00AF4C60" w:rsidRDefault="00B544F0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>
        <w:rPr>
          <w:rFonts w:ascii="Corbel" w:eastAsia="Calibri" w:hAnsi="Corbel" w:cs="Times New Roman"/>
          <w:sz w:val="20"/>
          <w:szCs w:val="20"/>
        </w:rPr>
        <w:tab/>
      </w:r>
      <w:bookmarkStart w:id="0" w:name="_GoBack"/>
      <w:bookmarkEnd w:id="0"/>
      <w:r w:rsidR="00373CA7">
        <w:rPr>
          <w:rFonts w:ascii="Corbel" w:eastAsia="Calibri" w:hAnsi="Corbel" w:cs="Times New Roman"/>
          <w:sz w:val="20"/>
          <w:szCs w:val="20"/>
        </w:rPr>
        <w:tab/>
      </w:r>
      <w:r w:rsidR="00373CA7">
        <w:rPr>
          <w:rFonts w:ascii="Corbel" w:eastAsia="Calibri" w:hAnsi="Corbel" w:cs="Times New Roman"/>
          <w:sz w:val="20"/>
          <w:szCs w:val="20"/>
        </w:rPr>
        <w:tab/>
      </w:r>
      <w:r w:rsidR="00373CA7">
        <w:rPr>
          <w:rFonts w:ascii="Corbel" w:eastAsia="Calibri" w:hAnsi="Corbel" w:cs="Times New Roman"/>
          <w:sz w:val="20"/>
          <w:szCs w:val="20"/>
        </w:rPr>
        <w:tab/>
      </w:r>
      <w:r w:rsidR="00373CA7">
        <w:rPr>
          <w:rFonts w:ascii="Corbel" w:eastAsia="Calibri" w:hAnsi="Corbel" w:cs="Times New Roman"/>
          <w:sz w:val="20"/>
          <w:szCs w:val="20"/>
        </w:rPr>
        <w:tab/>
      </w:r>
      <w:r w:rsidR="00373CA7">
        <w:rPr>
          <w:rFonts w:ascii="Corbel" w:eastAsia="Calibri" w:hAnsi="Corbel" w:cs="Times New Roman"/>
          <w:b/>
          <w:bCs/>
          <w:sz w:val="20"/>
          <w:szCs w:val="20"/>
        </w:rPr>
        <w:t xml:space="preserve">Rok akademicki </w:t>
      </w:r>
      <w:r w:rsidRPr="00B544F0">
        <w:rPr>
          <w:rFonts w:ascii="Corbel" w:eastAsia="Calibri" w:hAnsi="Corbel" w:cs="Times New Roman"/>
          <w:b/>
          <w:bCs/>
          <w:sz w:val="20"/>
          <w:szCs w:val="20"/>
        </w:rPr>
        <w:t>2021/2022</w:t>
      </w:r>
    </w:p>
    <w:p w:rsidR="00AF4C60" w:rsidRDefault="00AF4C6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AF4C60" w:rsidRDefault="00373CA7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AF4C6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  <w:t>Komunikowanie społeczne</w:t>
            </w:r>
          </w:p>
        </w:tc>
      </w:tr>
      <w:tr w:rsidR="00AF4C6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S1S[1]O_08 </w:t>
            </w:r>
          </w:p>
        </w:tc>
      </w:tr>
      <w:tr w:rsidR="00AF4C6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643"/>
              </w:tabs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AF4C6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AB5F40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AF4C6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Socjologia </w:t>
            </w:r>
          </w:p>
        </w:tc>
      </w:tr>
      <w:tr w:rsidR="00AF4C6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  <w:t>I stopnia</w:t>
            </w:r>
          </w:p>
        </w:tc>
      </w:tr>
      <w:tr w:rsidR="00AF4C6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="00AF4C6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AF4C6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  <w:t>Rok 1, semestr I</w:t>
            </w:r>
          </w:p>
        </w:tc>
      </w:tr>
      <w:tr w:rsidR="00AF4C6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podstawowy </w:t>
            </w:r>
          </w:p>
        </w:tc>
      </w:tr>
      <w:tr w:rsidR="00AF4C6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AF4C6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  <w:tr w:rsidR="00AF4C6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</w:tbl>
    <w:p w:rsidR="00AF4C60" w:rsidRDefault="00373CA7">
      <w:pPr>
        <w:tabs>
          <w:tab w:val="left" w:pos="-5814"/>
        </w:tabs>
        <w:spacing w:beforeAutospacing="1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:rsidR="00AF4C60" w:rsidRDefault="00373CA7">
      <w:pPr>
        <w:tabs>
          <w:tab w:val="left" w:pos="-5814"/>
        </w:tabs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:rsidR="00AF4C60" w:rsidRDefault="00AF4C60">
      <w:pPr>
        <w:tabs>
          <w:tab w:val="left" w:pos="-5814"/>
        </w:tabs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AF4C60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AF4C60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AF4C6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AF4C6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AF4C6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AF4C6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AF4C6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AF4C6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AF4C6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:rsidR="00AF4C60" w:rsidRDefault="00AF4C60">
      <w:pPr>
        <w:tabs>
          <w:tab w:val="left" w:pos="-5814"/>
        </w:tabs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:rsidR="00AF4C60" w:rsidRDefault="00AF4C60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:rsidR="00AF4C60" w:rsidRDefault="00373CA7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1.2.</w:t>
      </w:r>
      <w:r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:rsidR="00AF4C60" w:rsidRDefault="00373CA7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/>
          <w:smallCaps/>
          <w:sz w:val="24"/>
          <w:szCs w:val="24"/>
        </w:rPr>
        <w:t>×</w:t>
      </w:r>
      <w:r>
        <w:rPr>
          <w:rFonts w:ascii="Corbel" w:eastAsia="Calibri" w:hAnsi="Corbel" w:cs="Times New Roman"/>
          <w:sz w:val="24"/>
          <w:szCs w:val="24"/>
        </w:rPr>
        <w:t xml:space="preserve"> zajęcia w formie tradycyjnej </w:t>
      </w:r>
    </w:p>
    <w:p w:rsidR="00AF4C60" w:rsidRDefault="00373CA7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/>
          <w:smallCaps/>
          <w:sz w:val="24"/>
          <w:szCs w:val="24"/>
        </w:rPr>
        <w:t>☐</w:t>
      </w:r>
      <w:r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:rsidR="00AF4C60" w:rsidRDefault="00AF4C60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AF4C60" w:rsidRDefault="00373CA7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(z toku) </w:t>
      </w:r>
      <w:r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:rsidR="00AF4C60" w:rsidRDefault="00AF4C60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AF4C60" w:rsidRDefault="00373CA7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:rsidR="00AF4C60" w:rsidRDefault="00AF4C60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AF4C60" w:rsidRDefault="00373CA7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p w:rsidR="00AF4C60" w:rsidRDefault="00AF4C60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AF4C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brak</w:t>
            </w:r>
          </w:p>
        </w:tc>
      </w:tr>
    </w:tbl>
    <w:p w:rsidR="00AF4C60" w:rsidRDefault="00AF4C60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AF4C60" w:rsidRDefault="00AF4C60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AF4C60" w:rsidRDefault="00373CA7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>
        <w:br w:type="column"/>
      </w:r>
      <w:r>
        <w:rPr>
          <w:rFonts w:ascii="Corbel" w:eastAsia="Calibri" w:hAnsi="Corbel" w:cs="Times New Roman"/>
          <w:b/>
          <w:smallCaps/>
          <w:sz w:val="24"/>
          <w:szCs w:val="24"/>
        </w:rPr>
        <w:lastRenderedPageBreak/>
        <w:t>3. cele, efekty uczenia się , treści Programowe i stosowane metody Dydaktyczne</w:t>
      </w:r>
    </w:p>
    <w:p w:rsidR="00AF4C60" w:rsidRDefault="00AF4C60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AF4C60" w:rsidRDefault="00373CA7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:rsidR="00AF4C60" w:rsidRDefault="00AF4C60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3"/>
        <w:gridCol w:w="8677"/>
      </w:tblGrid>
      <w:tr w:rsidR="00AF4C60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814"/>
              </w:tabs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zapoznanie studentów z podstawowym aparatem teoretycznym i pojęciowym dotyczącym komunikowania społecznego</w:t>
            </w:r>
          </w:p>
        </w:tc>
      </w:tr>
      <w:tr w:rsidR="00AF4C60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814"/>
                <w:tab w:val="left" w:pos="720"/>
              </w:tabs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814"/>
              </w:tabs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zapoznanie studentów z najważniejszymi typami komunikowania społecznego (interpersonalnym, organizacyjnym, politycznym, publicznym, masowym), ich specyfiką oraz znaczeniem w życiu jednostkowym i społecznym</w:t>
            </w:r>
          </w:p>
        </w:tc>
      </w:tr>
      <w:tr w:rsidR="00AF4C60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tabs>
                <w:tab w:val="left" w:pos="-5814"/>
              </w:tabs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zapoznanie studentów z technikami wpływu społecznego i ich zastosowaniem w procesach komunikacyjnych, wybranymi dysfunkcjami komunikowania oraz zagadnieniami </w:t>
            </w:r>
            <w:proofErr w:type="spellStart"/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metakomunikacji</w:t>
            </w:r>
            <w:proofErr w:type="spellEnd"/>
          </w:p>
        </w:tc>
      </w:tr>
    </w:tbl>
    <w:p w:rsidR="00AF4C60" w:rsidRDefault="00AF4C60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:rsidR="00AF4C60" w:rsidRDefault="00373CA7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>
        <w:rPr>
          <w:rFonts w:ascii="Corbel" w:eastAsia="Calibri" w:hAnsi="Corbel" w:cs="Times New Roman"/>
          <w:sz w:val="24"/>
          <w:szCs w:val="24"/>
        </w:rPr>
        <w:t xml:space="preserve"> </w:t>
      </w:r>
    </w:p>
    <w:p w:rsidR="00AF4C60" w:rsidRDefault="00AF4C6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AF4C60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eastAsia="Calibri" w:hAnsi="Corbel" w:cs="Times New Roman"/>
                <w:sz w:val="24"/>
                <w:szCs w:val="24"/>
              </w:rPr>
              <w:footnoteReference w:id="1"/>
            </w:r>
          </w:p>
        </w:tc>
      </w:tr>
      <w:tr w:rsidR="00AF4C60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Student zna i rozumie w stopniu zaawansowanym metody i narzędzia, łącznie z technikami pozyskiwania danych, właściwe dla socjologii, pozwalające dokonać opisu struktur i instytucji społecznych oraz procesów w nich i między nimi zachodzących.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KW_07</w:t>
            </w:r>
          </w:p>
        </w:tc>
      </w:tr>
      <w:tr w:rsidR="00AF4C60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Student posiada umiejętność przewidywania procesów i zjawisk społecznych dzięki posługiwaniu się metodami i narzędziami socjologicznymi; dokonuje samodzielnej analizy zjawisk społecznych z zakresu komunikowania oraz współpracuje w grupie zadaniowej przyjmując w niej różne role.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KU_04</w:t>
            </w:r>
          </w:p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KU_08</w:t>
            </w:r>
          </w:p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KU_13</w:t>
            </w:r>
          </w:p>
        </w:tc>
      </w:tr>
    </w:tbl>
    <w:p w:rsidR="00AF4C60" w:rsidRDefault="00AF4C60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AF4C60" w:rsidRDefault="00373CA7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>
        <w:rPr>
          <w:rFonts w:ascii="Corbel" w:eastAsia="Calibri" w:hAnsi="Corbel" w:cs="Times New Roman"/>
          <w:sz w:val="24"/>
          <w:szCs w:val="24"/>
        </w:rPr>
        <w:t xml:space="preserve">  </w:t>
      </w:r>
    </w:p>
    <w:p w:rsidR="00AF4C60" w:rsidRDefault="00373CA7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:rsidR="00AF4C60" w:rsidRDefault="00AF4C60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AF4C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AF4C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:rsidR="00AF4C60" w:rsidRDefault="00AF4C6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AF4C60" w:rsidRDefault="00373CA7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:rsidR="00AF4C60" w:rsidRDefault="00AF4C60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AF4C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AF4C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Tradycje w teorii komunikacji (psychologiczna, cybernetyczna, retoryczna, semiotyczna,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socjokulturowa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, krytyczna, fenomenologiczna)</w:t>
            </w:r>
          </w:p>
        </w:tc>
      </w:tr>
      <w:tr w:rsidR="00AF4C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Komunikowanie interpersonalne, w organizacji, polityczne, publiczne, masowe – wybrane zagadnienia</w:t>
            </w:r>
          </w:p>
        </w:tc>
      </w:tr>
      <w:tr w:rsidR="00AF4C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Natura komunikacji niewerbalnej, komunikowanie między płciami, kształtowanie wrażenia,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spójne komunikowanie się</w:t>
            </w:r>
          </w:p>
        </w:tc>
      </w:tr>
      <w:tr w:rsidR="00AF4C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 xml:space="preserve">Rola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metakomunikacji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w komunikowaniu organizacyjnym, </w:t>
            </w:r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>feedback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. </w:t>
            </w:r>
          </w:p>
        </w:tc>
      </w:tr>
      <w:tr w:rsidR="00AF4C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Komunikowanie w sytuacji kryzysowej. </w:t>
            </w:r>
            <w:proofErr w:type="spellStart"/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>Employer</w:t>
            </w:r>
            <w:proofErr w:type="spellEnd"/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>branding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</w:tbl>
    <w:p w:rsidR="00AF4C60" w:rsidRDefault="00AF4C60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AF4C60" w:rsidRDefault="00373CA7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3.4 Metody dydaktyczne</w:t>
      </w:r>
      <w:r>
        <w:rPr>
          <w:rFonts w:ascii="Corbel" w:eastAsia="Calibri" w:hAnsi="Corbel" w:cs="Times New Roman"/>
          <w:sz w:val="24"/>
          <w:szCs w:val="24"/>
        </w:rPr>
        <w:t xml:space="preserve"> </w:t>
      </w:r>
    </w:p>
    <w:p w:rsidR="00AF4C60" w:rsidRDefault="00AF4C60">
      <w:pPr>
        <w:tabs>
          <w:tab w:val="left" w:pos="284"/>
        </w:tabs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</w:p>
    <w:p w:rsidR="00AF4C60" w:rsidRDefault="00373CA7">
      <w:pPr>
        <w:tabs>
          <w:tab w:val="left" w:pos="284"/>
        </w:tabs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>analiza tekstów z dyskusją, analiza treści multimedialnych, studium przypadków, praca w grupach</w:t>
      </w:r>
    </w:p>
    <w:p w:rsidR="00AF4C60" w:rsidRDefault="00AF4C60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AF4C60" w:rsidRDefault="00373CA7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:rsidR="00AF4C60" w:rsidRDefault="00AF4C60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AF4C60" w:rsidRDefault="00373CA7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:rsidR="00AF4C60" w:rsidRDefault="00AF4C6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29"/>
        <w:gridCol w:w="5673"/>
        <w:gridCol w:w="2118"/>
      </w:tblGrid>
      <w:tr w:rsidR="00AF4C60"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AF4C60"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</w:t>
            </w:r>
            <w:proofErr w:type="spellEnd"/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kolokwium lub zaliczenie ustne lub praca zaliczeniowa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jc w:val="center"/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</w:tr>
      <w:tr w:rsidR="00AF4C60"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kolokwium lub zaliczenie ustne lub praca zaliczeniowa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jc w:val="center"/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</w:tr>
    </w:tbl>
    <w:p w:rsidR="00AF4C60" w:rsidRDefault="00AF4C6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AF4C60" w:rsidRDefault="00373CA7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:rsidR="00AF4C60" w:rsidRDefault="00AF4C60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AF4C6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uzyskanie 50 proc. maksymalnej liczby punktów (w przypadku kolokwium)</w:t>
            </w:r>
          </w:p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poprawna odpowiedź na 50 proc. pytań (w przypadku zaliczenia ustnego) lub</w:t>
            </w:r>
          </w:p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uzyskanie pozytywnej oceny z pracy zaliczeniowej</w:t>
            </w:r>
          </w:p>
        </w:tc>
      </w:tr>
    </w:tbl>
    <w:p w:rsidR="00AF4C60" w:rsidRDefault="00AF4C6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AF4C60" w:rsidRDefault="00373CA7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AF4C60" w:rsidRDefault="00AF4C6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AF4C6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60" w:rsidRDefault="00373CA7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F4C6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15</w:t>
            </w:r>
          </w:p>
        </w:tc>
      </w:tr>
      <w:tr w:rsidR="00AF4C6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:rsidR="00AF4C60" w:rsidRDefault="00373CA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AF4C6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30</w:t>
            </w:r>
          </w:p>
        </w:tc>
      </w:tr>
      <w:tr w:rsidR="00AF4C6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50</w:t>
            </w:r>
          </w:p>
        </w:tc>
      </w:tr>
      <w:tr w:rsidR="00AF4C6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</w:tbl>
    <w:p w:rsidR="00AF4C60" w:rsidRDefault="00373CA7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:rsidR="00AF4C60" w:rsidRDefault="00AF4C6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AF4C60" w:rsidRDefault="00373CA7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:rsidR="00AF4C60" w:rsidRDefault="00AF4C60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8074" w:type="dxa"/>
        <w:tblInd w:w="115" w:type="dxa"/>
        <w:tblLayout w:type="fixed"/>
        <w:tblLook w:val="04A0" w:firstRow="1" w:lastRow="0" w:firstColumn="1" w:lastColumn="0" w:noHBand="0" w:noVBand="1"/>
      </w:tblPr>
      <w:tblGrid>
        <w:gridCol w:w="4104"/>
        <w:gridCol w:w="3970"/>
      </w:tblGrid>
      <w:tr w:rsidR="00AF4C60">
        <w:trPr>
          <w:trHeight w:val="397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 dotyczy</w:t>
            </w:r>
          </w:p>
        </w:tc>
      </w:tr>
      <w:tr w:rsidR="00AF4C60">
        <w:trPr>
          <w:trHeight w:val="397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Nie dotyczy</w:t>
            </w:r>
          </w:p>
        </w:tc>
      </w:tr>
    </w:tbl>
    <w:p w:rsidR="00AF4C60" w:rsidRDefault="00AF4C60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:rsidR="00AF4C60" w:rsidRDefault="00AF4C60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AF4C60" w:rsidRDefault="00373CA7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br w:type="column"/>
      </w:r>
      <w:r>
        <w:rPr>
          <w:rFonts w:ascii="Corbel" w:eastAsia="Calibri" w:hAnsi="Corbel" w:cs="Times New Roman"/>
          <w:b/>
          <w:sz w:val="24"/>
          <w:szCs w:val="24"/>
        </w:rPr>
        <w:lastRenderedPageBreak/>
        <w:t xml:space="preserve">7. LITERATURA </w:t>
      </w:r>
    </w:p>
    <w:p w:rsidR="00AF4C60" w:rsidRDefault="00AF4C60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8192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8192"/>
      </w:tblGrid>
      <w:tr w:rsidR="00AF4C60">
        <w:trPr>
          <w:trHeight w:val="397"/>
        </w:trPr>
        <w:tc>
          <w:tcPr>
            <w:tcW w:w="8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  <w:t>Literatura podstawowa:</w:t>
            </w:r>
          </w:p>
          <w:p w:rsidR="00AF4C60" w:rsidRDefault="00AF4C60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</w:p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D.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McQuail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>Teoria komunikowania masowego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Warszawa 2019.</w:t>
            </w:r>
          </w:p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T.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Goban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-Klas, </w:t>
            </w:r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>Media i komunikowanie masowe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Warszawa 2019.</w:t>
            </w:r>
          </w:p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M.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Golka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>Bariery w komunikowaniu i społeczeństwo dezinformacyjne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Warszawa 2019.</w:t>
            </w:r>
          </w:p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B. Dobek-Ostrowska,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Komunikowanie polityczne i publiczne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Warszawa 2019.  </w:t>
            </w:r>
          </w:p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Castells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Władza komunikacji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Warszawa 2013.  </w:t>
            </w:r>
          </w:p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J. Grzenia,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Komunikacja językowa w Internecie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Warszawa 2019.  </w:t>
            </w:r>
          </w:p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Karwat,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Teoria prowokacji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Warszawa 2019.  </w:t>
            </w:r>
          </w:p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M. Zalewska-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Turzyńska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Organizacja jako system sieci zintegrowanych relacji komunikowania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Warszawa 2018. </w:t>
            </w:r>
          </w:p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  <w:lang w:val="en-US"/>
              </w:rPr>
              <w:t>R. Adler Ronald, L. B. Rosenfeld,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  <w:lang w:val="en-US"/>
              </w:rPr>
              <w:t>Relacje</w:t>
            </w:r>
            <w:proofErr w:type="spellEnd"/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  <w:lang w:val="en-US"/>
              </w:rPr>
              <w:t>interpersonalne</w:t>
            </w:r>
            <w:proofErr w:type="spellEnd"/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Proces porozumiewania się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Poznań 2018.</w:t>
            </w:r>
          </w:p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P. F.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Anthonissen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Komunikacja kryzysowa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Gliwice 2013.</w:t>
            </w:r>
          </w:p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Dijk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Społeczne aspekty nowych mediów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2010.</w:t>
            </w:r>
          </w:p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E. Griffin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, Podstawy komunikacji społecznej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Gdańsk 2003.</w:t>
            </w:r>
          </w:p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D. G.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Leathers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Komunikacja niewerbalna: zasady i zastosowania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2007.</w:t>
            </w:r>
          </w:p>
        </w:tc>
      </w:tr>
      <w:tr w:rsidR="00AF4C60">
        <w:trPr>
          <w:trHeight w:val="397"/>
        </w:trPr>
        <w:tc>
          <w:tcPr>
            <w:tcW w:w="8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  <w:t xml:space="preserve">Literatura uzupełniająca: </w:t>
            </w:r>
          </w:p>
          <w:p w:rsidR="00AF4C60" w:rsidRDefault="00AF4C60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</w:p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B. Dobek-Ostrowska,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Podstawy komunikowania społecznego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Wyd. 2, Wrocław 2004.</w:t>
            </w:r>
          </w:p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J. O. Harris,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Feedback, czyli Informacja zwrotna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Gliwice 2008.</w:t>
            </w:r>
          </w:p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A.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Vickers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S.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Bavister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NLP w praktyce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201o.</w:t>
            </w:r>
          </w:p>
          <w:p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L. A.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Lievrouw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Media alternatywne i zaangażowanie społeczne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Warszawa 2012.  </w:t>
            </w:r>
          </w:p>
        </w:tc>
      </w:tr>
    </w:tbl>
    <w:p w:rsidR="00AF4C60" w:rsidRDefault="00AF4C60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:rsidR="00AF4C60" w:rsidRDefault="00AF4C60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:rsidR="00AF4C60" w:rsidRDefault="00373CA7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:rsidR="00AF4C60" w:rsidRDefault="00AF4C60"/>
    <w:sectPr w:rsidR="00AF4C60">
      <w:pgSz w:w="11906" w:h="16838"/>
      <w:pgMar w:top="1134" w:right="1134" w:bottom="1134" w:left="1134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4D90" w:rsidRDefault="001A4D90">
      <w:pPr>
        <w:spacing w:after="0" w:line="240" w:lineRule="auto"/>
      </w:pPr>
      <w:r>
        <w:separator/>
      </w:r>
    </w:p>
  </w:endnote>
  <w:endnote w:type="continuationSeparator" w:id="0">
    <w:p w:rsidR="001A4D90" w:rsidRDefault="001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4D90" w:rsidRDefault="001A4D90">
      <w:pPr>
        <w:rPr>
          <w:sz w:val="12"/>
        </w:rPr>
      </w:pPr>
      <w:r>
        <w:separator/>
      </w:r>
    </w:p>
  </w:footnote>
  <w:footnote w:type="continuationSeparator" w:id="0">
    <w:p w:rsidR="001A4D90" w:rsidRDefault="001A4D90">
      <w:pPr>
        <w:rPr>
          <w:sz w:val="12"/>
        </w:rPr>
      </w:pPr>
      <w:r>
        <w:continuationSeparator/>
      </w:r>
    </w:p>
  </w:footnote>
  <w:footnote w:id="1">
    <w:p w:rsidR="00AF4C60" w:rsidRDefault="00373CA7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F257D"/>
    <w:multiLevelType w:val="multilevel"/>
    <w:tmpl w:val="AEBCD3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28E1B42"/>
    <w:multiLevelType w:val="multilevel"/>
    <w:tmpl w:val="D79C33DE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C60"/>
    <w:rsid w:val="001A4D90"/>
    <w:rsid w:val="00373CA7"/>
    <w:rsid w:val="00AB5F40"/>
    <w:rsid w:val="00AF4C60"/>
    <w:rsid w:val="00B5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36B58"/>
  <w15:docId w15:val="{AE8F9496-CD85-47E5-990E-0286A4544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5B2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E6E64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EE6E6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C2B0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C2B07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C2B07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C2B07"/>
    <w:rPr>
      <w:rFonts w:ascii="Segoe UI" w:hAnsi="Segoe UI" w:cs="Segoe UI"/>
      <w:sz w:val="18"/>
      <w:szCs w:val="18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B45B2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C2B07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C2B0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C2B07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863</Words>
  <Characters>5183</Characters>
  <Application>Microsoft Office Word</Application>
  <DocSecurity>0</DocSecurity>
  <Lines>43</Lines>
  <Paragraphs>12</Paragraphs>
  <ScaleCrop>false</ScaleCrop>
  <Company>Acer</Company>
  <LinksUpToDate>false</LinksUpToDate>
  <CharactersWithSpaces>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dc:description/>
  <cp:lastModifiedBy>Admin</cp:lastModifiedBy>
  <cp:revision>9</cp:revision>
  <dcterms:created xsi:type="dcterms:W3CDTF">2020-10-26T16:36:00Z</dcterms:created>
  <dcterms:modified xsi:type="dcterms:W3CDTF">2021-07-05T10:12:00Z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Acer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